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E48" w:rsidRPr="00CD51AC" w:rsidRDefault="00C71E48" w:rsidP="00C71E48">
      <w:pPr>
        <w:pStyle w:val="a5"/>
        <w:tabs>
          <w:tab w:val="clear" w:pos="4536"/>
          <w:tab w:val="left" w:pos="1800"/>
        </w:tabs>
        <w:rPr>
          <w:rFonts w:cs="Arial"/>
          <w:szCs w:val="22"/>
        </w:rPr>
      </w:pPr>
      <w:r w:rsidRPr="00CD51AC">
        <w:rPr>
          <w:rFonts w:cs="Arial"/>
          <w:szCs w:val="22"/>
        </w:rPr>
        <w:t>3GPP TSG RAN WG1#98bis                                      R1-19</w:t>
      </w:r>
      <w:r w:rsidR="001A629B" w:rsidRPr="001A629B">
        <w:rPr>
          <w:rFonts w:cs="Arial"/>
          <w:szCs w:val="22"/>
        </w:rPr>
        <w:t>11568</w:t>
      </w:r>
    </w:p>
    <w:p w:rsidR="00C71E48" w:rsidRPr="00CD51AC" w:rsidRDefault="00C71E48" w:rsidP="00C71E48">
      <w:pPr>
        <w:pStyle w:val="a5"/>
        <w:tabs>
          <w:tab w:val="clear" w:pos="4536"/>
          <w:tab w:val="left" w:pos="1800"/>
        </w:tabs>
        <w:rPr>
          <w:rFonts w:cs="Arial"/>
          <w:szCs w:val="22"/>
        </w:rPr>
      </w:pPr>
      <w:r w:rsidRPr="00CD51AC">
        <w:rPr>
          <w:rFonts w:cs="Arial"/>
          <w:bCs/>
        </w:rPr>
        <w:t>Chongqing, China, October 14th – 20th, 2019</w:t>
      </w:r>
    </w:p>
    <w:p w:rsidR="00C71E48" w:rsidRPr="00CD51AC" w:rsidRDefault="00C71E48" w:rsidP="00C71E48">
      <w:pPr>
        <w:pStyle w:val="a5"/>
        <w:ind w:left="800"/>
        <w:rPr>
          <w:rFonts w:eastAsia="宋体" w:cs="Arial"/>
          <w:bCs/>
          <w:szCs w:val="22"/>
          <w:lang w:eastAsia="zh-CN"/>
        </w:rPr>
      </w:pPr>
      <w:bookmarkStart w:id="0" w:name="_GoBack"/>
      <w:bookmarkEnd w:id="0"/>
    </w:p>
    <w:p w:rsidR="00C71E48" w:rsidRPr="00CD51AC" w:rsidRDefault="00C71E48" w:rsidP="00C71E48">
      <w:pPr>
        <w:pStyle w:val="a5"/>
        <w:tabs>
          <w:tab w:val="clear" w:pos="4536"/>
          <w:tab w:val="left" w:pos="1400"/>
        </w:tabs>
        <w:rPr>
          <w:rFonts w:eastAsia="宋体"/>
          <w:szCs w:val="22"/>
          <w:lang w:eastAsia="zh-CN"/>
        </w:rPr>
      </w:pPr>
      <w:r w:rsidRPr="00CD51AC">
        <w:rPr>
          <w:rFonts w:cs="Arial"/>
          <w:szCs w:val="22"/>
        </w:rPr>
        <w:t>Source:</w:t>
      </w:r>
      <w:r w:rsidRPr="00CD51AC">
        <w:rPr>
          <w:rFonts w:cs="Arial"/>
          <w:szCs w:val="22"/>
        </w:rPr>
        <w:tab/>
      </w:r>
      <w:r w:rsidRPr="00CD51AC">
        <w:rPr>
          <w:rFonts w:eastAsia="宋体" w:hint="eastAsia"/>
          <w:szCs w:val="22"/>
          <w:lang w:eastAsia="zh-CN"/>
        </w:rPr>
        <w:t>vivo</w:t>
      </w:r>
    </w:p>
    <w:p w:rsidR="00C71E48" w:rsidRPr="00CD51AC" w:rsidRDefault="00C71E48" w:rsidP="00C71E48">
      <w:pPr>
        <w:pStyle w:val="a5"/>
        <w:tabs>
          <w:tab w:val="left" w:pos="1400"/>
        </w:tabs>
        <w:rPr>
          <w:rFonts w:cs="Arial"/>
          <w:szCs w:val="22"/>
        </w:rPr>
      </w:pPr>
      <w:r w:rsidRPr="00CD51AC">
        <w:rPr>
          <w:rFonts w:cs="Arial"/>
          <w:szCs w:val="22"/>
        </w:rPr>
        <w:t>Title:</w:t>
      </w:r>
      <w:bookmarkStart w:id="1" w:name="Title"/>
      <w:bookmarkEnd w:id="1"/>
      <w:r>
        <w:rPr>
          <w:rFonts w:cs="Arial"/>
          <w:szCs w:val="22"/>
        </w:rPr>
        <w:tab/>
        <w:t>Summary#3</w:t>
      </w:r>
      <w:r w:rsidRPr="00CD51AC">
        <w:rPr>
          <w:rFonts w:cs="Arial"/>
          <w:szCs w:val="22"/>
        </w:rPr>
        <w:t xml:space="preserve"> of offline discussion on Full TX Power UL transmission</w:t>
      </w:r>
    </w:p>
    <w:p w:rsidR="00C71E48" w:rsidRPr="00CD51AC" w:rsidRDefault="00C71E48" w:rsidP="00C71E48">
      <w:pPr>
        <w:pStyle w:val="a5"/>
        <w:tabs>
          <w:tab w:val="left" w:pos="1400"/>
        </w:tabs>
        <w:rPr>
          <w:rFonts w:eastAsia="宋体"/>
          <w:szCs w:val="22"/>
          <w:lang w:eastAsia="zh-CN"/>
        </w:rPr>
      </w:pPr>
      <w:r w:rsidRPr="00CD51AC">
        <w:rPr>
          <w:rFonts w:cs="Arial"/>
          <w:szCs w:val="22"/>
        </w:rPr>
        <w:t>Agenda Item:</w:t>
      </w:r>
      <w:bookmarkStart w:id="2" w:name="Source"/>
      <w:bookmarkEnd w:id="2"/>
      <w:r w:rsidRPr="00CD51AC">
        <w:rPr>
          <w:rFonts w:cs="Arial"/>
          <w:szCs w:val="22"/>
        </w:rPr>
        <w:tab/>
      </w:r>
      <w:r w:rsidRPr="00CD51AC">
        <w:rPr>
          <w:rFonts w:eastAsia="宋体" w:cs="Arial"/>
          <w:szCs w:val="22"/>
          <w:lang w:eastAsia="zh-CN"/>
        </w:rPr>
        <w:t>7</w:t>
      </w:r>
      <w:r w:rsidRPr="00CD51AC">
        <w:rPr>
          <w:rFonts w:eastAsia="宋体" w:cs="Arial" w:hint="eastAsia"/>
          <w:szCs w:val="22"/>
          <w:lang w:eastAsia="zh-CN"/>
        </w:rPr>
        <w:t>.2.</w:t>
      </w:r>
      <w:r w:rsidRPr="00CD51AC">
        <w:rPr>
          <w:rFonts w:eastAsia="宋体" w:cs="Arial"/>
          <w:szCs w:val="22"/>
          <w:lang w:eastAsia="zh-CN"/>
        </w:rPr>
        <w:t>8.4</w:t>
      </w:r>
    </w:p>
    <w:p w:rsidR="00C71E48" w:rsidRDefault="00C71E48" w:rsidP="00C71E48">
      <w:pPr>
        <w:pStyle w:val="a5"/>
        <w:tabs>
          <w:tab w:val="clear" w:pos="4536"/>
          <w:tab w:val="left" w:pos="1800"/>
        </w:tabs>
        <w:ind w:left="1634" w:hangingChars="814" w:hanging="1634"/>
        <w:rPr>
          <w:rFonts w:cs="Arial"/>
          <w:sz w:val="22"/>
          <w:szCs w:val="22"/>
        </w:rPr>
      </w:pPr>
      <w:r w:rsidRPr="00CD51AC">
        <w:rPr>
          <w:rFonts w:cs="Arial"/>
          <w:szCs w:val="22"/>
        </w:rPr>
        <w:t>Document for:</w:t>
      </w:r>
      <w:bookmarkStart w:id="3" w:name="DocumentFor"/>
      <w:bookmarkEnd w:id="3"/>
      <w:r>
        <w:rPr>
          <w:rFonts w:cs="Arial"/>
          <w:szCs w:val="22"/>
        </w:rPr>
        <w:t xml:space="preserve"> </w:t>
      </w:r>
      <w:r w:rsidRPr="00CD51AC">
        <w:rPr>
          <w:rFonts w:cs="Arial"/>
          <w:szCs w:val="22"/>
        </w:rPr>
        <w:t>Discussion and Decision</w:t>
      </w:r>
    </w:p>
    <w:p w:rsidR="00C71E48" w:rsidRPr="00C71E48" w:rsidRDefault="00C71E48" w:rsidP="009F3615">
      <w:pPr>
        <w:rPr>
          <w:rFonts w:eastAsiaTheme="minorEastAsia"/>
          <w:highlight w:val="cyan"/>
          <w:lang w:val="en-US" w:eastAsia="zh-CN"/>
        </w:rPr>
      </w:pPr>
    </w:p>
    <w:p w:rsidR="00C71E48" w:rsidRDefault="00C71E48" w:rsidP="009F3615">
      <w:pPr>
        <w:rPr>
          <w:rFonts w:eastAsiaTheme="minorEastAsia"/>
          <w:highlight w:val="cyan"/>
          <w:lang w:eastAsia="zh-CN"/>
        </w:rPr>
      </w:pPr>
    </w:p>
    <w:p w:rsidR="00C71E48" w:rsidRDefault="00C71E48" w:rsidP="009F3615">
      <w:pPr>
        <w:rPr>
          <w:rFonts w:eastAsiaTheme="minorEastAsia"/>
          <w:highlight w:val="cyan"/>
          <w:lang w:eastAsia="zh-CN"/>
        </w:rPr>
      </w:pPr>
    </w:p>
    <w:p w:rsidR="009F3615" w:rsidRPr="00286F8C" w:rsidRDefault="00286F8C" w:rsidP="009F3615">
      <w:pPr>
        <w:rPr>
          <w:rFonts w:eastAsiaTheme="minorEastAsia"/>
          <w:lang w:eastAsia="zh-CN"/>
        </w:rPr>
      </w:pPr>
      <w:r w:rsidRPr="00481062">
        <w:rPr>
          <w:rFonts w:eastAsiaTheme="minorEastAsia" w:hint="eastAsia"/>
          <w:highlight w:val="cyan"/>
          <w:lang w:eastAsia="zh-CN"/>
        </w:rPr>
        <w:t>Offline Prop</w:t>
      </w:r>
      <w:r w:rsidR="00E10A9D">
        <w:rPr>
          <w:rFonts w:eastAsiaTheme="minorEastAsia"/>
          <w:highlight w:val="cyan"/>
          <w:lang w:eastAsia="zh-CN"/>
        </w:rPr>
        <w:t>o</w:t>
      </w:r>
      <w:r w:rsidR="00DA3DA3">
        <w:rPr>
          <w:rFonts w:eastAsiaTheme="minorEastAsia" w:hint="eastAsia"/>
          <w:highlight w:val="cyan"/>
          <w:lang w:eastAsia="zh-CN"/>
        </w:rPr>
        <w:t>sal</w:t>
      </w:r>
      <w:r w:rsidRPr="00481062">
        <w:rPr>
          <w:rFonts w:eastAsiaTheme="minorEastAsia"/>
          <w:highlight w:val="cyan"/>
          <w:lang w:eastAsia="zh-CN"/>
        </w:rPr>
        <w:t>:</w:t>
      </w:r>
    </w:p>
    <w:p w:rsidR="009F3615" w:rsidRPr="00286F8C" w:rsidRDefault="009F3615" w:rsidP="00286F8C">
      <w:pPr>
        <w:rPr>
          <w:rFonts w:eastAsiaTheme="minorEastAsia"/>
          <w:lang w:eastAsia="zh-CN"/>
        </w:rPr>
      </w:pPr>
    </w:p>
    <w:p w:rsidR="00481062" w:rsidRDefault="00481062" w:rsidP="00481062">
      <w:pPr>
        <w:rPr>
          <w:lang w:val="fr-FR"/>
        </w:rPr>
      </w:pPr>
      <w:r>
        <w:rPr>
          <w:lang w:val="fr-FR"/>
        </w:rPr>
        <w:t>For Mode1, 4Tx partial-coherent</w:t>
      </w:r>
    </w:p>
    <w:p w:rsidR="00481062" w:rsidRDefault="00481062" w:rsidP="00481062">
      <w:pPr>
        <w:rPr>
          <w:lang w:val="fr-FR"/>
        </w:rPr>
      </w:pPr>
      <w:r>
        <w:rPr>
          <w:lang w:val="fr-FR"/>
        </w:rPr>
        <w:t>R</w:t>
      </w:r>
      <w:r>
        <w:rPr>
          <w:rFonts w:hint="eastAsia"/>
          <w:lang w:val="fr-FR"/>
        </w:rPr>
        <w:t>ank1</w:t>
      </w:r>
      <w:r>
        <w:rPr>
          <w:lang w:val="fr-FR"/>
        </w:rPr>
        <w:t>:</w:t>
      </w:r>
      <w:r w:rsidRPr="00AC0F1D">
        <w:t xml:space="preserve"> </w:t>
      </w:r>
      <w:r>
        <w:t>TPMI = 12,13,14,15 (CP-OFDM) TPMI = 12,13,14,15, [16, 17, 18, 19] (DFT-s-OFDM)</w:t>
      </w:r>
    </w:p>
    <w:p w:rsidR="00286F8C" w:rsidRPr="00481062" w:rsidRDefault="00481062" w:rsidP="009F3615">
      <w:pPr>
        <w:rPr>
          <w:rFonts w:eastAsiaTheme="minorEastAsia"/>
          <w:lang w:val="fr-FR" w:eastAsia="zh-CN"/>
        </w:rPr>
      </w:pPr>
      <w:r>
        <w:rPr>
          <w:rFonts w:eastAsiaTheme="minorEastAsia" w:hint="eastAsia"/>
          <w:lang w:val="fr-FR" w:eastAsia="zh-CN"/>
        </w:rPr>
        <w:t>FFS:</w:t>
      </w:r>
      <w:r>
        <w:rPr>
          <w:rFonts w:eastAsiaTheme="minorEastAsia"/>
          <w:lang w:val="fr-FR" w:eastAsia="zh-CN"/>
        </w:rPr>
        <w:t xml:space="preserve"> whether clarification on </w:t>
      </w:r>
      <w:r w:rsidR="00A74207">
        <w:rPr>
          <w:rFonts w:eastAsiaTheme="minorEastAsia"/>
          <w:lang w:val="fr-FR" w:eastAsia="zh-CN"/>
        </w:rPr>
        <w:t>which</w:t>
      </w:r>
      <w:r>
        <w:rPr>
          <w:rFonts w:eastAsiaTheme="minorEastAsia"/>
          <w:lang w:val="fr-FR" w:eastAsia="zh-CN"/>
        </w:rPr>
        <w:t xml:space="preserve"> port</w:t>
      </w:r>
      <w:r w:rsidR="00A74207">
        <w:rPr>
          <w:rFonts w:eastAsiaTheme="minorEastAsia"/>
          <w:lang w:val="fr-FR" w:eastAsia="zh-CN"/>
        </w:rPr>
        <w:t xml:space="preserve"> pair</w:t>
      </w:r>
      <w:r>
        <w:rPr>
          <w:rFonts w:eastAsiaTheme="minorEastAsia"/>
          <w:lang w:val="fr-FR" w:eastAsia="zh-CN"/>
        </w:rPr>
        <w:t>s are</w:t>
      </w:r>
      <w:r w:rsidR="00A74207">
        <w:rPr>
          <w:rFonts w:eastAsiaTheme="minorEastAsia"/>
          <w:lang w:val="fr-FR" w:eastAsia="zh-CN"/>
        </w:rPr>
        <w:t xml:space="preserve"> coherent is</w:t>
      </w:r>
      <w:r>
        <w:rPr>
          <w:rFonts w:eastAsiaTheme="minorEastAsia"/>
          <w:lang w:val="fr-FR" w:eastAsia="zh-CN"/>
        </w:rPr>
        <w:t xml:space="preserve"> needed</w:t>
      </w:r>
    </w:p>
    <w:p w:rsidR="00286F8C" w:rsidRDefault="00286F8C" w:rsidP="009F3615">
      <w:pPr>
        <w:rPr>
          <w:lang w:eastAsia="x-none"/>
        </w:rPr>
      </w:pPr>
    </w:p>
    <w:p w:rsidR="009F3615" w:rsidRDefault="009F3615" w:rsidP="009F3615">
      <w:pPr>
        <w:rPr>
          <w:lang w:eastAsia="x-none"/>
        </w:rPr>
      </w:pPr>
    </w:p>
    <w:p w:rsidR="009F3615" w:rsidRDefault="009F3615" w:rsidP="009F3615">
      <w:pPr>
        <w:rPr>
          <w:rFonts w:eastAsiaTheme="minorEastAsia"/>
          <w:lang w:eastAsia="zh-CN"/>
        </w:rPr>
      </w:pPr>
    </w:p>
    <w:p w:rsidR="009F3615" w:rsidRPr="009F3615" w:rsidRDefault="009F3615" w:rsidP="009F3615">
      <w:pPr>
        <w:rPr>
          <w:rFonts w:eastAsiaTheme="minorEastAsia"/>
          <w:lang w:eastAsia="zh-CN"/>
        </w:rPr>
      </w:pPr>
      <w:r w:rsidRPr="0035580B">
        <w:rPr>
          <w:rFonts w:eastAsiaTheme="minorEastAsia"/>
          <w:highlight w:val="cyan"/>
          <w:lang w:eastAsia="zh-CN"/>
        </w:rPr>
        <w:t>O</w:t>
      </w:r>
      <w:r w:rsidRPr="0035580B">
        <w:rPr>
          <w:rFonts w:eastAsiaTheme="minorEastAsia" w:hint="eastAsia"/>
          <w:highlight w:val="cyan"/>
          <w:lang w:eastAsia="zh-CN"/>
        </w:rPr>
        <w:t>ffline</w:t>
      </w:r>
      <w:r w:rsidR="00ED5637">
        <w:rPr>
          <w:rFonts w:eastAsiaTheme="minorEastAsia"/>
          <w:highlight w:val="cyan"/>
          <w:lang w:eastAsia="zh-CN"/>
        </w:rPr>
        <w:t xml:space="preserve"> proposal</w:t>
      </w:r>
      <w:r w:rsidRPr="0035580B">
        <w:rPr>
          <w:rFonts w:eastAsiaTheme="minorEastAsia"/>
          <w:highlight w:val="cyan"/>
          <w:lang w:eastAsia="zh-CN"/>
        </w:rPr>
        <w:t>:</w:t>
      </w:r>
    </w:p>
    <w:p w:rsidR="0035580B" w:rsidRPr="0035580B" w:rsidRDefault="0035580B" w:rsidP="009F3615">
      <w:pPr>
        <w:rPr>
          <w:szCs w:val="20"/>
        </w:rPr>
      </w:pPr>
      <w:r w:rsidRPr="0035580B">
        <w:rPr>
          <w:szCs w:val="20"/>
        </w:rPr>
        <w:t xml:space="preserve">For Mode2, for 2/4Tx UE with </w:t>
      </w:r>
      <w:r w:rsidR="009F3615" w:rsidRPr="0035580B">
        <w:rPr>
          <w:szCs w:val="20"/>
        </w:rPr>
        <w:t>1 port operation</w:t>
      </w:r>
      <w:r w:rsidRPr="0035580B">
        <w:rPr>
          <w:szCs w:val="20"/>
        </w:rPr>
        <w:t xml:space="preserve"> power scaling is equal to 1 </w:t>
      </w:r>
    </w:p>
    <w:p w:rsidR="009F3615" w:rsidRDefault="009F3615" w:rsidP="009F3615">
      <w:pPr>
        <w:rPr>
          <w:lang w:eastAsia="x-none"/>
        </w:rPr>
      </w:pPr>
    </w:p>
    <w:p w:rsidR="00ED5637" w:rsidRDefault="00D77E97" w:rsidP="009F3615">
      <w:pPr>
        <w:rPr>
          <w:rFonts w:eastAsiaTheme="minorEastAsia"/>
          <w:lang w:eastAsia="zh-CN"/>
        </w:rPr>
      </w:pPr>
      <w:r w:rsidRPr="00D101AF">
        <w:rPr>
          <w:rFonts w:eastAsiaTheme="minorEastAsia"/>
          <w:highlight w:val="cyan"/>
          <w:lang w:eastAsia="zh-CN"/>
        </w:rPr>
        <w:t>O</w:t>
      </w:r>
      <w:r w:rsidRPr="00D101AF">
        <w:rPr>
          <w:rFonts w:eastAsiaTheme="minorEastAsia" w:hint="eastAsia"/>
          <w:highlight w:val="cyan"/>
          <w:lang w:eastAsia="zh-CN"/>
        </w:rPr>
        <w:t>ffline</w:t>
      </w:r>
      <w:r w:rsidRPr="00D101AF">
        <w:rPr>
          <w:rFonts w:eastAsiaTheme="minorEastAsia"/>
          <w:highlight w:val="cyan"/>
          <w:lang w:eastAsia="zh-CN"/>
        </w:rPr>
        <w:t xml:space="preserve"> </w:t>
      </w:r>
      <w:r w:rsidR="00D101AF" w:rsidRPr="00D101AF">
        <w:rPr>
          <w:rFonts w:eastAsiaTheme="minorEastAsia"/>
          <w:highlight w:val="cyan"/>
          <w:lang w:eastAsia="zh-CN"/>
        </w:rPr>
        <w:t>conclusion</w:t>
      </w:r>
    </w:p>
    <w:p w:rsidR="00D77E97" w:rsidRDefault="00D77E97" w:rsidP="009F3615">
      <w:pPr>
        <w:rPr>
          <w:rFonts w:eastAsiaTheme="minorEastAsia"/>
          <w:lang w:eastAsia="zh-CN"/>
        </w:rPr>
      </w:pPr>
      <w:r w:rsidRPr="00D77E97">
        <w:rPr>
          <w:rFonts w:eastAsia="宋体"/>
        </w:rPr>
        <w:t>For Mode2, TPMI corresponds to SRS resource indicated by SRI</w:t>
      </w:r>
      <w:r w:rsidR="00D101AF">
        <w:rPr>
          <w:rFonts w:eastAsia="宋体"/>
        </w:rPr>
        <w:t xml:space="preserve"> (if multiple SRS resources are configured in a set)</w:t>
      </w:r>
      <w:r w:rsidRPr="00D77E97">
        <w:rPr>
          <w:rFonts w:eastAsia="宋体"/>
        </w:rPr>
        <w:t xml:space="preserve"> or configured SRS resource</w:t>
      </w:r>
    </w:p>
    <w:p w:rsidR="00D77E97" w:rsidRDefault="00D77E97" w:rsidP="009F3615">
      <w:pPr>
        <w:rPr>
          <w:rFonts w:eastAsiaTheme="minorEastAsia"/>
          <w:lang w:eastAsia="zh-CN"/>
        </w:rPr>
      </w:pPr>
    </w:p>
    <w:p w:rsidR="00ED5637" w:rsidRPr="0035580B" w:rsidRDefault="00ED5637" w:rsidP="00ED5637">
      <w:pPr>
        <w:rPr>
          <w:rFonts w:eastAsiaTheme="minorEastAsia"/>
          <w:lang w:eastAsia="zh-CN"/>
        </w:rPr>
      </w:pPr>
      <w:r w:rsidRPr="00D101AF">
        <w:rPr>
          <w:rFonts w:eastAsiaTheme="minorEastAsia"/>
          <w:highlight w:val="cyan"/>
          <w:lang w:eastAsia="zh-CN"/>
        </w:rPr>
        <w:t>O</w:t>
      </w:r>
      <w:r w:rsidRPr="00D101AF">
        <w:rPr>
          <w:rFonts w:eastAsiaTheme="minorEastAsia" w:hint="eastAsia"/>
          <w:highlight w:val="cyan"/>
          <w:lang w:eastAsia="zh-CN"/>
        </w:rPr>
        <w:t xml:space="preserve">ffline </w:t>
      </w:r>
      <w:r w:rsidR="00D101AF" w:rsidRPr="00D101AF">
        <w:rPr>
          <w:rFonts w:eastAsiaTheme="minorEastAsia"/>
          <w:highlight w:val="cyan"/>
          <w:lang w:eastAsia="zh-CN"/>
        </w:rPr>
        <w:t>agreement</w:t>
      </w:r>
      <w:r w:rsidRPr="00D101AF">
        <w:rPr>
          <w:rFonts w:eastAsiaTheme="minorEastAsia"/>
          <w:highlight w:val="cyan"/>
          <w:lang w:eastAsia="zh-CN"/>
        </w:rPr>
        <w:t>:</w:t>
      </w:r>
    </w:p>
    <w:p w:rsidR="00ED5637" w:rsidRPr="00D101AF" w:rsidRDefault="00D101AF" w:rsidP="00ED5637">
      <w:pPr>
        <w:pStyle w:val="a3"/>
        <w:numPr>
          <w:ilvl w:val="0"/>
          <w:numId w:val="2"/>
        </w:numPr>
        <w:spacing w:line="259" w:lineRule="auto"/>
        <w:ind w:left="800"/>
        <w:rPr>
          <w:rFonts w:eastAsia="宋体"/>
          <w:highlight w:val="green"/>
        </w:rPr>
      </w:pPr>
      <w:r w:rsidRPr="00D101AF">
        <w:rPr>
          <w:rFonts w:eastAsia="宋体"/>
          <w:highlight w:val="green"/>
        </w:rPr>
        <w:t>for the other TPMI precoders</w:t>
      </w:r>
      <w:r>
        <w:rPr>
          <w:rFonts w:eastAsia="宋体"/>
          <w:highlight w:val="green"/>
        </w:rPr>
        <w:t>,</w:t>
      </w:r>
      <w:r w:rsidRPr="00D101AF">
        <w:rPr>
          <w:rFonts w:eastAsia="宋体"/>
          <w:highlight w:val="green"/>
        </w:rPr>
        <w:t xml:space="preserve"> </w:t>
      </w:r>
      <w:r>
        <w:rPr>
          <w:rFonts w:eastAsia="宋体"/>
          <w:highlight w:val="green"/>
        </w:rPr>
        <w:t>i</w:t>
      </w:r>
      <w:r w:rsidR="00ED5637" w:rsidRPr="00D101AF">
        <w:rPr>
          <w:rFonts w:eastAsia="宋体"/>
          <w:highlight w:val="green"/>
        </w:rPr>
        <w:t>f only one SRS resource is configured, the power scaling factor is determined by #non-zero-PUSCH-port divided by #SRS-ports</w:t>
      </w:r>
    </w:p>
    <w:p w:rsidR="00ED5637" w:rsidRPr="00D101AF" w:rsidRDefault="00ED5637" w:rsidP="00ED5637">
      <w:pPr>
        <w:pStyle w:val="a3"/>
        <w:numPr>
          <w:ilvl w:val="0"/>
          <w:numId w:val="2"/>
        </w:numPr>
        <w:spacing w:line="259" w:lineRule="auto"/>
        <w:ind w:left="800"/>
        <w:rPr>
          <w:rFonts w:eastAsia="宋体"/>
          <w:highlight w:val="green"/>
        </w:rPr>
      </w:pPr>
      <w:r w:rsidRPr="00D101AF">
        <w:rPr>
          <w:rFonts w:eastAsia="宋体"/>
          <w:highlight w:val="green"/>
        </w:rPr>
        <w:t>for the other TPMI precoders, the power scaling factor is determined by #non-zero PUSCH port/#SRS ports in the SRS resource indicated by SRI</w:t>
      </w:r>
    </w:p>
    <w:p w:rsidR="00ED5637" w:rsidRPr="00D86029" w:rsidRDefault="00D101AF" w:rsidP="00ED5637">
      <w:pPr>
        <w:pStyle w:val="a3"/>
        <w:numPr>
          <w:ilvl w:val="1"/>
          <w:numId w:val="2"/>
        </w:numPr>
        <w:spacing w:line="259" w:lineRule="auto"/>
        <w:rPr>
          <w:rFonts w:eastAsia="宋体"/>
        </w:rPr>
      </w:pPr>
      <w:r>
        <w:rPr>
          <w:rFonts w:eastAsia="宋体"/>
          <w:lang w:eastAsia="zh-CN"/>
        </w:rPr>
        <w:t>further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discuss scale factors delivers less than full power but more than Rel-15 (resolve within this week)</w:t>
      </w:r>
    </w:p>
    <w:p w:rsidR="0035580B" w:rsidRPr="00D101AF" w:rsidRDefault="0035580B" w:rsidP="009F3615">
      <w:pPr>
        <w:rPr>
          <w:lang w:eastAsia="x-none"/>
        </w:rPr>
      </w:pPr>
    </w:p>
    <w:p w:rsidR="009F3615" w:rsidRDefault="009F3615" w:rsidP="009F3615">
      <w:pPr>
        <w:rPr>
          <w:lang w:eastAsia="x-none"/>
        </w:rPr>
      </w:pPr>
      <w:r>
        <w:rPr>
          <w:lang w:eastAsia="x-none"/>
        </w:rPr>
        <w:t>For Mode 2, the power scaling for TPMI precoders that do not support full power TX: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7729"/>
      </w:tblGrid>
      <w:tr w:rsidR="009F3615" w:rsidTr="009F3615">
        <w:trPr>
          <w:jc w:val="center"/>
        </w:trPr>
        <w:tc>
          <w:tcPr>
            <w:tcW w:w="1197" w:type="dxa"/>
            <w:shd w:val="clear" w:color="auto" w:fill="auto"/>
          </w:tcPr>
          <w:p w:rsidR="009F3615" w:rsidRPr="00D86029" w:rsidRDefault="009F3615" w:rsidP="00A24240">
            <w:pPr>
              <w:rPr>
                <w:rFonts w:ascii="CG Times (WN)" w:hAnsi="CG Times (WN)"/>
                <w:szCs w:val="20"/>
              </w:rPr>
            </w:pPr>
            <w:r w:rsidRPr="00D86029">
              <w:rPr>
                <w:rFonts w:ascii="CG Times (WN)" w:hAnsi="CG Times (WN)" w:hint="eastAsia"/>
                <w:szCs w:val="20"/>
              </w:rPr>
              <w:t>OPPO</w:t>
            </w:r>
          </w:p>
        </w:tc>
        <w:tc>
          <w:tcPr>
            <w:tcW w:w="7729" w:type="dxa"/>
            <w:shd w:val="clear" w:color="auto" w:fill="auto"/>
          </w:tcPr>
          <w:p w:rsidR="009F3615" w:rsidRPr="00D86029" w:rsidRDefault="009F3615" w:rsidP="009F3615">
            <w:pPr>
              <w:pStyle w:val="a3"/>
              <w:numPr>
                <w:ilvl w:val="0"/>
                <w:numId w:val="2"/>
              </w:numPr>
              <w:spacing w:line="259" w:lineRule="auto"/>
              <w:ind w:left="800"/>
              <w:rPr>
                <w:rFonts w:eastAsia="宋体"/>
              </w:rPr>
            </w:pPr>
            <w:r w:rsidRPr="00D86029">
              <w:rPr>
                <w:rFonts w:eastAsia="宋体"/>
              </w:rPr>
              <w:t>for the other TPMI precoders, the power scaling factor is determined by #non-zero PUSCH port/#SRS ports in the SRS resource indicated by SRI</w:t>
            </w:r>
          </w:p>
          <w:p w:rsidR="009F3615" w:rsidRPr="00D86029" w:rsidRDefault="009F3615" w:rsidP="009F3615">
            <w:pPr>
              <w:pStyle w:val="a3"/>
              <w:numPr>
                <w:ilvl w:val="0"/>
                <w:numId w:val="2"/>
              </w:numPr>
              <w:spacing w:line="259" w:lineRule="auto"/>
              <w:ind w:left="800"/>
              <w:rPr>
                <w:rFonts w:eastAsia="宋体"/>
              </w:rPr>
            </w:pPr>
            <w:r w:rsidRPr="00D86029">
              <w:rPr>
                <w:rFonts w:ascii="Times New Roman" w:hAnsi="Times New Roman"/>
                <w:szCs w:val="20"/>
              </w:rPr>
              <w:t xml:space="preserve">If only one SRS resource is configured, the power scaling factor is determined by </w:t>
            </w:r>
            <w:r w:rsidRPr="00D86029">
              <w:rPr>
                <w:rFonts w:ascii="Times New Roman" w:eastAsia="宋体" w:hAnsi="Times New Roman"/>
                <w:szCs w:val="20"/>
              </w:rPr>
              <w:t>#non-zero-PUSCH-port divided by #SRS-ports</w:t>
            </w:r>
          </w:p>
        </w:tc>
      </w:tr>
      <w:tr w:rsidR="009F3615" w:rsidTr="009F3615">
        <w:trPr>
          <w:jc w:val="center"/>
        </w:trPr>
        <w:tc>
          <w:tcPr>
            <w:tcW w:w="1197" w:type="dxa"/>
            <w:shd w:val="clear" w:color="auto" w:fill="auto"/>
          </w:tcPr>
          <w:p w:rsidR="009F3615" w:rsidRDefault="009F3615" w:rsidP="00A24240">
            <w:r>
              <w:rPr>
                <w:rFonts w:hint="eastAsia"/>
              </w:rPr>
              <w:t>CATT</w:t>
            </w:r>
          </w:p>
        </w:tc>
        <w:tc>
          <w:tcPr>
            <w:tcW w:w="7729" w:type="dxa"/>
            <w:shd w:val="clear" w:color="auto" w:fill="auto"/>
          </w:tcPr>
          <w:p w:rsidR="009F3615" w:rsidRPr="00D86029" w:rsidRDefault="009F3615" w:rsidP="009F3615">
            <w:pPr>
              <w:pStyle w:val="a3"/>
              <w:numPr>
                <w:ilvl w:val="0"/>
                <w:numId w:val="3"/>
              </w:numPr>
              <w:spacing w:beforeLines="50" w:before="156" w:afterLines="50" w:after="156" w:line="259" w:lineRule="auto"/>
              <w:ind w:left="800"/>
              <w:textAlignment w:val="center"/>
              <w:rPr>
                <w:rFonts w:ascii="Times New Roman" w:hAnsi="Times New Roman"/>
                <w:szCs w:val="20"/>
              </w:rPr>
            </w:pPr>
            <w:r w:rsidRPr="00D86029">
              <w:rPr>
                <w:rFonts w:ascii="Times New Roman" w:eastAsia="宋体" w:hAnsi="Times New Roman" w:hint="eastAsia"/>
                <w:szCs w:val="20"/>
              </w:rPr>
              <w:t>F</w:t>
            </w:r>
            <w:r w:rsidRPr="00D86029">
              <w:rPr>
                <w:rFonts w:ascii="Times New Roman" w:eastAsia="宋体" w:hAnsi="Times New Roman"/>
                <w:szCs w:val="20"/>
              </w:rPr>
              <w:t>o</w:t>
            </w:r>
            <w:r w:rsidRPr="00D86029">
              <w:rPr>
                <w:rFonts w:ascii="Times New Roman" w:eastAsia="宋体" w:hAnsi="Times New Roman" w:hint="eastAsia"/>
                <w:szCs w:val="20"/>
              </w:rPr>
              <w:t xml:space="preserve">r other TPMIs, </w:t>
            </w:r>
          </w:p>
          <w:p w:rsidR="009F3615" w:rsidRPr="00D86029" w:rsidRDefault="009F3615" w:rsidP="009F3615">
            <w:pPr>
              <w:pStyle w:val="a3"/>
              <w:numPr>
                <w:ilvl w:val="1"/>
                <w:numId w:val="3"/>
              </w:numPr>
              <w:spacing w:beforeLines="50" w:before="156" w:afterLines="50" w:after="156" w:line="259" w:lineRule="auto"/>
              <w:ind w:left="800"/>
              <w:textAlignment w:val="center"/>
              <w:rPr>
                <w:rFonts w:ascii="Times New Roman" w:hAnsi="Times New Roman"/>
                <w:szCs w:val="20"/>
              </w:rPr>
            </w:pPr>
            <w:r w:rsidRPr="00D86029">
              <w:rPr>
                <w:rFonts w:ascii="Times New Roman" w:eastAsia="宋体" w:hAnsi="Times New Roman" w:hint="eastAsia"/>
                <w:szCs w:val="20"/>
              </w:rPr>
              <w:lastRenderedPageBreak/>
              <w:t xml:space="preserve">if </w:t>
            </w:r>
            <w:r w:rsidRPr="00D86029">
              <w:rPr>
                <w:rFonts w:ascii="Times New Roman" w:eastAsia="宋体" w:hAnsi="Times New Roman"/>
                <w:szCs w:val="20"/>
              </w:rPr>
              <w:t>full power transmission is supported by the combination of any two ports</w:t>
            </w:r>
            <w:r w:rsidRPr="00D86029">
              <w:rPr>
                <w:rFonts w:ascii="Times New Roman" w:eastAsia="宋体" w:hAnsi="Times New Roman" w:hint="eastAsia"/>
                <w:szCs w:val="20"/>
              </w:rPr>
              <w:t xml:space="preserve">, the power scaling factor is </w:t>
            </w:r>
            <w:r w:rsidRPr="00D86029">
              <w:rPr>
                <w:rFonts w:ascii="Times New Roman" w:hAnsi="Times New Roman"/>
                <w:szCs w:val="20"/>
              </w:rPr>
              <w:t>min{1,</w:t>
            </w:r>
            <w:r w:rsidRPr="00D86029">
              <w:rPr>
                <w:rFonts w:ascii="Times New Roman" w:hAnsi="Times New Roman" w:hint="eastAsia"/>
                <w:szCs w:val="20"/>
              </w:rPr>
              <w:t>2</w:t>
            </w:r>
            <w:r w:rsidRPr="00D86029">
              <w:rPr>
                <w:rFonts w:ascii="Times New Roman" w:eastAsia="宋体" w:hAnsi="Times New Roman"/>
                <w:szCs w:val="20"/>
              </w:rPr>
              <w:t xml:space="preserve"> #non-zero-PUSCH-port divided by</w:t>
            </w:r>
            <w:r w:rsidRPr="00D86029">
              <w:rPr>
                <w:rFonts w:ascii="Times New Roman" w:hAnsi="Times New Roman"/>
                <w:szCs w:val="20"/>
              </w:rPr>
              <w:t xml:space="preserve"> </w:t>
            </w:r>
            <w:r w:rsidRPr="00D86029">
              <w:rPr>
                <w:rFonts w:ascii="Times New Roman" w:eastAsia="宋体" w:hAnsi="Times New Roman"/>
                <w:szCs w:val="20"/>
              </w:rPr>
              <w:t>#SRS-ports in the SRS resource indicated by SRI</w:t>
            </w:r>
            <w:r w:rsidRPr="00D86029">
              <w:rPr>
                <w:rFonts w:ascii="Times New Roman" w:hAnsi="Times New Roman"/>
                <w:szCs w:val="20"/>
              </w:rPr>
              <w:t xml:space="preserve"> }</w:t>
            </w:r>
            <w:r w:rsidRPr="00D86029">
              <w:rPr>
                <w:rFonts w:ascii="Times New Roman" w:hAnsi="Times New Roman" w:hint="eastAsia"/>
                <w:szCs w:val="20"/>
              </w:rPr>
              <w:t>;</w:t>
            </w:r>
          </w:p>
          <w:p w:rsidR="009F3615" w:rsidRPr="00D86029" w:rsidRDefault="009F3615" w:rsidP="009F3615">
            <w:pPr>
              <w:pStyle w:val="a3"/>
              <w:numPr>
                <w:ilvl w:val="1"/>
                <w:numId w:val="3"/>
              </w:numPr>
              <w:spacing w:beforeLines="50" w:before="156" w:afterLines="50" w:after="156" w:line="259" w:lineRule="auto"/>
              <w:ind w:left="800"/>
              <w:textAlignment w:val="center"/>
              <w:rPr>
                <w:rFonts w:ascii="Times New Roman" w:hAnsi="Times New Roman"/>
                <w:i/>
                <w:szCs w:val="20"/>
              </w:rPr>
            </w:pPr>
            <w:r w:rsidRPr="00D86029">
              <w:rPr>
                <w:rFonts w:ascii="Times New Roman" w:hAnsi="Times New Roman" w:hint="eastAsia"/>
                <w:szCs w:val="20"/>
              </w:rPr>
              <w:t>otherwise,</w:t>
            </w:r>
            <w:r w:rsidRPr="00D86029">
              <w:rPr>
                <w:rFonts w:ascii="Times New Roman" w:eastAsia="宋体" w:hAnsi="Times New Roman" w:hint="eastAsia"/>
                <w:szCs w:val="20"/>
              </w:rPr>
              <w:t xml:space="preserve"> the power scaling factor is </w:t>
            </w:r>
            <w:r w:rsidRPr="00D86029">
              <w:rPr>
                <w:rFonts w:ascii="Times New Roman" w:eastAsia="宋体" w:hAnsi="Times New Roman"/>
                <w:szCs w:val="20"/>
              </w:rPr>
              <w:t>determin</w:t>
            </w:r>
            <w:r w:rsidRPr="00D86029">
              <w:rPr>
                <w:rFonts w:ascii="Times New Roman" w:eastAsia="宋体" w:hAnsi="Times New Roman" w:hint="eastAsia"/>
                <w:szCs w:val="20"/>
              </w:rPr>
              <w:t>e</w:t>
            </w:r>
            <w:r w:rsidRPr="00D86029">
              <w:rPr>
                <w:rFonts w:ascii="Times New Roman" w:eastAsia="宋体" w:hAnsi="Times New Roman"/>
                <w:szCs w:val="20"/>
              </w:rPr>
              <w:t>d by #non-zero-PUSCH-port divided by #SRS-ports in the SRS resource indicated by SRI.</w:t>
            </w:r>
          </w:p>
          <w:p w:rsidR="009F3615" w:rsidRPr="00D86029" w:rsidRDefault="009F3615" w:rsidP="009F3615">
            <w:pPr>
              <w:pStyle w:val="a3"/>
              <w:numPr>
                <w:ilvl w:val="1"/>
                <w:numId w:val="3"/>
              </w:numPr>
              <w:spacing w:beforeLines="50" w:before="156" w:afterLines="50" w:after="156" w:line="259" w:lineRule="auto"/>
              <w:ind w:left="800"/>
              <w:textAlignment w:val="center"/>
              <w:rPr>
                <w:rFonts w:ascii="Times New Roman" w:hAnsi="Times New Roman"/>
                <w:iCs/>
                <w:szCs w:val="20"/>
              </w:rPr>
            </w:pPr>
            <w:r w:rsidRPr="00D86029">
              <w:rPr>
                <w:rFonts w:ascii="Times New Roman" w:hAnsi="Times New Roman"/>
                <w:iCs/>
                <w:szCs w:val="20"/>
              </w:rPr>
              <w:t xml:space="preserve">If only one SRS resource is configured, the power scaling factor is determined by </w:t>
            </w:r>
            <w:r w:rsidRPr="00D86029">
              <w:rPr>
                <w:rFonts w:ascii="Times New Roman" w:eastAsia="宋体" w:hAnsi="Times New Roman"/>
                <w:iCs/>
                <w:szCs w:val="20"/>
              </w:rPr>
              <w:t>#non-zero-PUSCH-port divided by #SRS-ports</w:t>
            </w:r>
          </w:p>
        </w:tc>
      </w:tr>
      <w:tr w:rsidR="009F3615" w:rsidTr="009F3615">
        <w:trPr>
          <w:jc w:val="center"/>
        </w:trPr>
        <w:tc>
          <w:tcPr>
            <w:tcW w:w="1197" w:type="dxa"/>
            <w:shd w:val="clear" w:color="auto" w:fill="auto"/>
          </w:tcPr>
          <w:p w:rsidR="009F3615" w:rsidRPr="00D86029" w:rsidRDefault="009F3615" w:rsidP="00A24240">
            <w:pPr>
              <w:rPr>
                <w:rFonts w:ascii="CG Times (WN)" w:hAnsi="CG Times (WN)"/>
                <w:sz w:val="18"/>
                <w:szCs w:val="20"/>
              </w:rPr>
            </w:pPr>
            <w:r w:rsidRPr="00D86029">
              <w:rPr>
                <w:rFonts w:ascii="CG Times (WN)" w:hAnsi="CG Times (WN)" w:hint="eastAsia"/>
                <w:sz w:val="18"/>
                <w:szCs w:val="20"/>
              </w:rPr>
              <w:lastRenderedPageBreak/>
              <w:t>Intel</w:t>
            </w:r>
          </w:p>
        </w:tc>
        <w:tc>
          <w:tcPr>
            <w:tcW w:w="7729" w:type="dxa"/>
            <w:shd w:val="clear" w:color="auto" w:fill="auto"/>
          </w:tcPr>
          <w:p w:rsidR="009F3615" w:rsidRPr="00D86029" w:rsidRDefault="009F3615" w:rsidP="00A24240">
            <w:pPr>
              <w:spacing w:before="120"/>
              <w:rPr>
                <w:rFonts w:ascii="Times New Roman" w:hAnsi="Times New Roman"/>
              </w:rPr>
            </w:pPr>
            <w:r w:rsidRPr="00D86029">
              <w:rPr>
                <w:rFonts w:ascii="Times New Roman" w:hAnsi="Times New Roman"/>
              </w:rPr>
              <w:t>For Mode 2 operation, if the TPMI supports full power transmission, then the power scaling factor should be 1; otherwise the power scaling factor is determined by the number of non-zero power PUSCH ports divided by the actual number of SRS antenna ports in the SRS resource indicated by SRI.</w:t>
            </w:r>
          </w:p>
        </w:tc>
      </w:tr>
      <w:tr w:rsidR="009F3615" w:rsidTr="009F3615">
        <w:trPr>
          <w:jc w:val="center"/>
        </w:trPr>
        <w:tc>
          <w:tcPr>
            <w:tcW w:w="1197" w:type="dxa"/>
            <w:shd w:val="clear" w:color="auto" w:fill="auto"/>
          </w:tcPr>
          <w:p w:rsidR="009F3615" w:rsidRPr="00D86029" w:rsidRDefault="009F3615" w:rsidP="00A24240">
            <w:pPr>
              <w:rPr>
                <w:rFonts w:ascii="CG Times (WN)" w:hAnsi="CG Times (WN)"/>
                <w:sz w:val="18"/>
                <w:szCs w:val="20"/>
              </w:rPr>
            </w:pPr>
            <w:r w:rsidRPr="00D86029">
              <w:rPr>
                <w:rFonts w:ascii="CG Times (WN)" w:hAnsi="CG Times (WN)" w:hint="eastAsia"/>
                <w:sz w:val="18"/>
                <w:szCs w:val="20"/>
              </w:rPr>
              <w:t>Ericsson</w:t>
            </w:r>
          </w:p>
        </w:tc>
        <w:tc>
          <w:tcPr>
            <w:tcW w:w="7729" w:type="dxa"/>
            <w:shd w:val="clear" w:color="auto" w:fill="auto"/>
          </w:tcPr>
          <w:p w:rsidR="009F3615" w:rsidRPr="006F5A95" w:rsidRDefault="009F3615" w:rsidP="009F3615">
            <w:pPr>
              <w:pStyle w:val="a4"/>
              <w:numPr>
                <w:ilvl w:val="0"/>
                <w:numId w:val="1"/>
              </w:numPr>
              <w:spacing w:after="180" w:line="276" w:lineRule="auto"/>
              <w:ind w:leftChars="0" w:left="1080"/>
              <w:contextualSpacing/>
            </w:pPr>
            <w:r w:rsidRPr="006F5A95">
              <w:t xml:space="preserve">power scaling factor for 4 Tx UEs with full power capability is </w:t>
            </w:r>
          </w:p>
          <w:p w:rsidR="009F3615" w:rsidRPr="006F5A95" w:rsidRDefault="009F3615" w:rsidP="009F3615">
            <w:pPr>
              <w:pStyle w:val="a4"/>
              <w:numPr>
                <w:ilvl w:val="1"/>
                <w:numId w:val="1"/>
              </w:numPr>
              <w:spacing w:after="180" w:line="276" w:lineRule="auto"/>
              <w:ind w:leftChars="0" w:left="1800"/>
              <w:contextualSpacing/>
            </w:pPr>
            <w:r w:rsidRPr="006F5A95">
              <w:t>1 for ranks 3 &amp; 4, for rank 2 with 2 port SRS, and for 1 port SRS, otherwise</w:t>
            </w:r>
          </w:p>
          <w:p w:rsidR="009F3615" w:rsidRPr="006F5A95" w:rsidRDefault="009F3615" w:rsidP="009F3615">
            <w:pPr>
              <w:pStyle w:val="a4"/>
              <w:numPr>
                <w:ilvl w:val="1"/>
                <w:numId w:val="1"/>
              </w:numPr>
              <w:spacing w:after="180" w:line="276" w:lineRule="auto"/>
              <w:ind w:leftChars="0" w:left="1800"/>
              <w:contextualSpacing/>
            </w:pPr>
            <w:r w:rsidRPr="006F5A95">
              <w:t>1/2 [or 1/3] for rank one with 4 ports if supported by UE capability, otherwise</w:t>
            </w:r>
          </w:p>
          <w:p w:rsidR="009F3615" w:rsidRPr="006F5A95" w:rsidRDefault="009F3615" w:rsidP="009F3615">
            <w:pPr>
              <w:pStyle w:val="a4"/>
              <w:numPr>
                <w:ilvl w:val="1"/>
                <w:numId w:val="1"/>
              </w:numPr>
              <w:spacing w:after="180" w:line="276" w:lineRule="auto"/>
              <w:ind w:leftChars="0" w:left="1800"/>
              <w:contextualSpacing/>
            </w:pPr>
            <w:r w:rsidRPr="006F5A95">
              <w:t xml:space="preserve">determined by #non-zero PUSCH port/#SRS ports </w:t>
            </w:r>
          </w:p>
          <w:p w:rsidR="009F3615" w:rsidRPr="006F5A95" w:rsidRDefault="009F3615" w:rsidP="009F3615">
            <w:pPr>
              <w:pStyle w:val="a4"/>
              <w:numPr>
                <w:ilvl w:val="1"/>
                <w:numId w:val="1"/>
              </w:numPr>
              <w:spacing w:after="180" w:line="276" w:lineRule="auto"/>
              <w:ind w:leftChars="0"/>
              <w:contextualSpacing/>
            </w:pPr>
            <w:r w:rsidRPr="006F5A95">
              <w:t>where the number of SRS ports is the number of ports in the SRS resource associated with the PUSCH transmission</w:t>
            </w:r>
          </w:p>
        </w:tc>
      </w:tr>
    </w:tbl>
    <w:p w:rsidR="009F3615" w:rsidRDefault="009F3615" w:rsidP="009F3615">
      <w:pPr>
        <w:rPr>
          <w:lang w:eastAsia="x-none"/>
        </w:rPr>
      </w:pPr>
    </w:p>
    <w:p w:rsidR="009F3615" w:rsidRDefault="009F3615" w:rsidP="009F3615">
      <w:pPr>
        <w:rPr>
          <w:lang w:eastAsia="x-none"/>
        </w:rPr>
      </w:pPr>
    </w:p>
    <w:p w:rsidR="00AE08BD" w:rsidRPr="009F3615" w:rsidRDefault="00AE08BD"/>
    <w:sectPr w:rsidR="00AE08BD" w:rsidRPr="009F3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7AB" w:rsidRDefault="00A577AB" w:rsidP="00E10A9D">
      <w:r>
        <w:separator/>
      </w:r>
    </w:p>
  </w:endnote>
  <w:endnote w:type="continuationSeparator" w:id="0">
    <w:p w:rsidR="00A577AB" w:rsidRDefault="00A577AB" w:rsidP="00E1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7AB" w:rsidRDefault="00A577AB" w:rsidP="00E10A9D">
      <w:r>
        <w:separator/>
      </w:r>
    </w:p>
  </w:footnote>
  <w:footnote w:type="continuationSeparator" w:id="0">
    <w:p w:rsidR="00A577AB" w:rsidRDefault="00A577AB" w:rsidP="00E10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C33A7"/>
    <w:multiLevelType w:val="hybridMultilevel"/>
    <w:tmpl w:val="CDD04094"/>
    <w:lvl w:ilvl="0" w:tplc="841C992C">
      <w:start w:val="4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3" w15:restartNumberingAfterBreak="0">
    <w:nsid w:val="6D8568B0"/>
    <w:multiLevelType w:val="multilevel"/>
    <w:tmpl w:val="6D8568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15"/>
    <w:rsid w:val="001A629B"/>
    <w:rsid w:val="00234FAB"/>
    <w:rsid w:val="00286F8C"/>
    <w:rsid w:val="0035580B"/>
    <w:rsid w:val="00481062"/>
    <w:rsid w:val="006C05D7"/>
    <w:rsid w:val="006D7618"/>
    <w:rsid w:val="007A0829"/>
    <w:rsid w:val="009315BB"/>
    <w:rsid w:val="009F3615"/>
    <w:rsid w:val="00A577AB"/>
    <w:rsid w:val="00A74207"/>
    <w:rsid w:val="00AE08BD"/>
    <w:rsid w:val="00BD72B6"/>
    <w:rsid w:val="00C71E48"/>
    <w:rsid w:val="00D101AF"/>
    <w:rsid w:val="00D77E97"/>
    <w:rsid w:val="00DA3DA3"/>
    <w:rsid w:val="00E10A9D"/>
    <w:rsid w:val="00ED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3DA272-CC77-4BB6-B6B7-39BEF206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61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Char"/>
    <w:rsid w:val="009F3615"/>
    <w:pPr>
      <w:spacing w:after="120"/>
      <w:jc w:val="both"/>
    </w:pPr>
    <w:rPr>
      <w:lang w:eastAsia="x-none"/>
    </w:rPr>
  </w:style>
  <w:style w:type="character" w:customStyle="1" w:styleId="Char">
    <w:name w:val="正文文本 Char"/>
    <w:aliases w:val="bt Char"/>
    <w:basedOn w:val="a0"/>
    <w:link w:val="a3"/>
    <w:rsid w:val="009F361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4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목록단락,列出段落1"/>
    <w:basedOn w:val="a"/>
    <w:link w:val="Char0"/>
    <w:uiPriority w:val="34"/>
    <w:qFormat/>
    <w:rsid w:val="009F3615"/>
    <w:pPr>
      <w:ind w:leftChars="400" w:left="840"/>
    </w:pPr>
    <w:rPr>
      <w:lang w:eastAsia="x-none"/>
    </w:rPr>
  </w:style>
  <w:style w:type="character" w:customStyle="1" w:styleId="Char0">
    <w:name w:val="列出段落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9F361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5">
    <w:name w:val="header"/>
    <w:basedOn w:val="a"/>
    <w:link w:val="Char1"/>
    <w:uiPriority w:val="99"/>
    <w:qFormat/>
    <w:rsid w:val="00C71E48"/>
    <w:pPr>
      <w:tabs>
        <w:tab w:val="center" w:pos="4536"/>
        <w:tab w:val="right" w:pos="9072"/>
      </w:tabs>
    </w:pPr>
    <w:rPr>
      <w:rFonts w:ascii="Arial" w:eastAsia="MS Mincho" w:hAnsi="Arial"/>
      <w:b/>
      <w:lang w:val="en-US"/>
    </w:rPr>
  </w:style>
  <w:style w:type="character" w:customStyle="1" w:styleId="Char1">
    <w:name w:val="页眉 Char"/>
    <w:basedOn w:val="a0"/>
    <w:link w:val="a5"/>
    <w:uiPriority w:val="99"/>
    <w:qFormat/>
    <w:rsid w:val="00C71E48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6">
    <w:name w:val="footer"/>
    <w:basedOn w:val="a"/>
    <w:link w:val="Char2"/>
    <w:uiPriority w:val="99"/>
    <w:unhideWhenUsed/>
    <w:rsid w:val="00E10A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E10A9D"/>
    <w:rPr>
      <w:rFonts w:ascii="Times" w:eastAsia="Batang" w:hAnsi="Times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9</cp:revision>
  <dcterms:created xsi:type="dcterms:W3CDTF">2019-10-16T09:48:00Z</dcterms:created>
  <dcterms:modified xsi:type="dcterms:W3CDTF">2019-10-17T00:06:00Z</dcterms:modified>
</cp:coreProperties>
</file>